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7635DC" w:sz="6" w:space="8"/>
          <w:bottom w:val="single" w:color="7635DC" w:sz="6" w:space="8"/>
          <w:left w:val="single" w:color="7635DC" w:sz="6" w:space="8"/>
          <w:right w:val="single" w:color="7635DC" w:sz="6" w:space="8"/>
        </w:pBdr>
        <w:shd w:fill="F4EEFE" w:color="auto" w:val="clear"/>
        <w:spacing w:after="240" w:before="0"/>
        <w:jc w:val="center"/>
      </w:pPr>
      <w:r>
        <w:rPr>
          <w:rFonts w:ascii="Calibri" w:cs="Calibri" w:eastAsia="Calibri" w:hAnsi="Calibri"/>
          <w:b/>
          <w:bCs/>
          <w:color w:val="7635DC"/>
          <w:sz w:val="22"/>
          <w:szCs w:val="22"/>
        </w:rPr>
        <w:t xml:space="preserve">Made with Glitter AI</w:t>
      </w:r>
      <w:r>
        <w:rPr>
          <w:rFonts w:ascii="Calibri" w:cs="Calibri" w:eastAsia="Calibri" w:hAnsi="Calibri"/>
          <w:color w:val="262626"/>
          <w:sz w:val="22"/>
          <w:szCs w:val="22"/>
        </w:rPr>
        <w:t xml:space="preserve"> — turn any process into a video SOP in minutes. </w:t>
      </w:r>
      <w:hyperlink w:history="1" r:id="rId2t3g3w0b3j4l1hvhp9hn-">
        <w:r>
          <w:rPr>
            <w:rFonts w:ascii="Calibri" w:cs="Calibri" w:eastAsia="Calibri" w:hAnsi="Calibri"/>
            <w:b/>
            <w:bCs/>
            <w:color w:val="7635DC"/>
            <w:sz w:val="22"/>
            <w:szCs w:val="22"/>
            <w:u w:val="single" w:color="7635DC"/>
          </w:rPr>
          <w:t xml:space="preserve">Try free at glitter.io →</w:t>
        </w:r>
      </w:hyperlink>
    </w:p>
    <w:p>
      <w:pPr>
        <w:pStyle w:val="Heading1"/>
        <w:spacing w:after="120" w:before="240"/>
      </w:pPr>
      <w:r>
        <w:rPr>
          <w:rFonts w:ascii="Calibri" w:cs="Calibri" w:eastAsia="Calibri" w:hAnsi="Calibri"/>
          <w:b/>
          <w:bCs/>
          <w:color w:val="1F3A5F"/>
          <w:sz w:val="36"/>
          <w:szCs w:val="36"/>
        </w:rPr>
        <w:t xml:space="preserve">Call Center Quality Assurance Checklist</w:t>
      </w:r>
    </w:p>
    <w:p>
      <w:pPr>
        <w:spacing w:after="12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A reusable QA scorecard for evaluating a single agent interaction end to end: greeting and verification, communication and soft skills, accuracy and resolution, compliance, process adherence, and the close. Score each criterion Yes, No, or N/A, weight what matters most to your team, and use the summary to coach. For [Company Name], agent [Agent Name], interaction [Ticket / Call ID], reviewed [MM/DD/YYYY].</w:t>
      </w:r>
    </w:p>
    <w:p>
      <w:pPr>
        <w:pStyle w:val="Heading2"/>
        <w:spacing w:after="120" w:before="240"/>
      </w:pPr>
      <w:r>
        <w:rPr>
          <w:rFonts w:ascii="Calibri" w:cs="Calibri" w:eastAsia="Calibri" w:hAnsi="Calibri"/>
          <w:b/>
          <w:bCs/>
          <w:color w:val="1F3A5F"/>
          <w:sz w:val="30"/>
          <w:szCs w:val="30"/>
        </w:rPr>
        <w:t xml:space="preserve">Table of Contents</w:t>
      </w:r>
    </w:p>
    <w:p>
      <w:pPr>
        <w:spacing w:after="60"/>
        <w:ind w:left="360"/>
      </w:pPr>
      <w:hyperlink w:history="1" w:anchor="section-0">
        <w:r>
          <w:rPr>
            <w:rFonts w:ascii="Calibri" w:cs="Calibri" w:eastAsia="Calibri" w:hAnsi="Calibri"/>
            <w:color w:val="2A6FBA"/>
            <w:sz w:val="22"/>
            <w:szCs w:val="22"/>
            <w:u w:val="single" w:color="2A6FBA"/>
          </w:rPr>
          <w:t xml:space="preserve">1. Interaction Details</w:t>
        </w:r>
      </w:hyperlink>
    </w:p>
    <w:p>
      <w:pPr>
        <w:spacing w:after="60"/>
        <w:ind w:left="360"/>
      </w:pPr>
      <w:hyperlink w:history="1" w:anchor="section-1">
        <w:r>
          <w:rPr>
            <w:rFonts w:ascii="Calibri" w:cs="Calibri" w:eastAsia="Calibri" w:hAnsi="Calibri"/>
            <w:color w:val="2A6FBA"/>
            <w:sz w:val="22"/>
            <w:szCs w:val="22"/>
            <w:u w:val="single" w:color="2A6FBA"/>
          </w:rPr>
          <w:t xml:space="preserve">2. Greeting and Identity Verification</w:t>
        </w:r>
      </w:hyperlink>
    </w:p>
    <w:p>
      <w:pPr>
        <w:spacing w:after="60"/>
        <w:ind w:left="360"/>
      </w:pPr>
      <w:hyperlink w:history="1" w:anchor="section-2">
        <w:r>
          <w:rPr>
            <w:rFonts w:ascii="Calibri" w:cs="Calibri" w:eastAsia="Calibri" w:hAnsi="Calibri"/>
            <w:color w:val="2A6FBA"/>
            <w:sz w:val="22"/>
            <w:szCs w:val="22"/>
            <w:u w:val="single" w:color="2A6FBA"/>
          </w:rPr>
          <w:t xml:space="preserve">3. Communication and Soft Skills</w:t>
        </w:r>
      </w:hyperlink>
    </w:p>
    <w:p>
      <w:pPr>
        <w:spacing w:after="60"/>
        <w:ind w:left="360"/>
      </w:pPr>
      <w:hyperlink w:history="1" w:anchor="section-3">
        <w:r>
          <w:rPr>
            <w:rFonts w:ascii="Calibri" w:cs="Calibri" w:eastAsia="Calibri" w:hAnsi="Calibri"/>
            <w:color w:val="2A6FBA"/>
            <w:sz w:val="22"/>
            <w:szCs w:val="22"/>
            <w:u w:val="single" w:color="2A6FBA"/>
          </w:rPr>
          <w:t xml:space="preserve">4. Accuracy and Problem Resolution</w:t>
        </w:r>
      </w:hyperlink>
    </w:p>
    <w:p>
      <w:pPr>
        <w:spacing w:after="60"/>
        <w:ind w:left="360"/>
      </w:pPr>
      <w:hyperlink w:history="1" w:anchor="section-4">
        <w:r>
          <w:rPr>
            <w:rFonts w:ascii="Calibri" w:cs="Calibri" w:eastAsia="Calibri" w:hAnsi="Calibri"/>
            <w:color w:val="2A6FBA"/>
            <w:sz w:val="22"/>
            <w:szCs w:val="22"/>
            <w:u w:val="single" w:color="2A6FBA"/>
          </w:rPr>
          <w:t xml:space="preserve">5. Compliance and Security</w:t>
        </w:r>
      </w:hyperlink>
    </w:p>
    <w:p>
      <w:pPr>
        <w:spacing w:after="60"/>
        <w:ind w:left="360"/>
      </w:pPr>
      <w:hyperlink w:history="1" w:anchor="section-5">
        <w:r>
          <w:rPr>
            <w:rFonts w:ascii="Calibri" w:cs="Calibri" w:eastAsia="Calibri" w:hAnsi="Calibri"/>
            <w:color w:val="2A6FBA"/>
            <w:sz w:val="22"/>
            <w:szCs w:val="22"/>
            <w:u w:val="single" w:color="2A6FBA"/>
          </w:rPr>
          <w:t xml:space="preserve">6. Process and Tool Adherence</w:t>
        </w:r>
      </w:hyperlink>
    </w:p>
    <w:p>
      <w:pPr>
        <w:spacing w:after="60"/>
        <w:ind w:left="360"/>
      </w:pPr>
      <w:hyperlink w:history="1" w:anchor="section-6">
        <w:r>
          <w:rPr>
            <w:rFonts w:ascii="Calibri" w:cs="Calibri" w:eastAsia="Calibri" w:hAnsi="Calibri"/>
            <w:color w:val="2A6FBA"/>
            <w:sz w:val="22"/>
            <w:szCs w:val="22"/>
            <w:u w:val="single" w:color="2A6FBA"/>
          </w:rPr>
          <w:t xml:space="preserve">7. Call Closing</w:t>
        </w:r>
      </w:hyperlink>
    </w:p>
    <w:p>
      <w:pPr>
        <w:spacing w:after="60"/>
        <w:ind w:left="360"/>
      </w:pPr>
      <w:hyperlink w:history="1" w:anchor="section-7">
        <w:r>
          <w:rPr>
            <w:rFonts w:ascii="Calibri" w:cs="Calibri" w:eastAsia="Calibri" w:hAnsi="Calibri"/>
            <w:color w:val="2A6FBA"/>
            <w:sz w:val="22"/>
            <w:szCs w:val="22"/>
            <w:u w:val="single" w:color="2A6FBA"/>
          </w:rPr>
          <w:t xml:space="preserve">8. Scoring Summary</w:t>
        </w:r>
      </w:hyperlink>
    </w:p>
    <w:p>
      <w:pPr>
        <w:pStyle w:val="Heading2"/>
        <w:spacing w:after="120" w:before="240"/>
      </w:pPr>
      <w:bookmarkStart w:name="section-0" w:id="1"/>
      <w:r>
        <w:rPr>
          <w:rFonts w:ascii="Calibri" w:cs="Calibri" w:eastAsia="Calibri" w:hAnsi="Calibri"/>
          <w:b/>
          <w:bCs/>
          <w:color w:val="1F3A5F"/>
          <w:sz w:val="30"/>
          <w:szCs w:val="30"/>
        </w:rPr>
        <w:t xml:space="preserve">1. Interaction Details</w:t>
      </w:r>
      <w:bookmarkEnd w:id="1"/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  <w:trHeight w:val="480" w:hRule="atLeast"/>
        </w:trPr>
        <w:tc>
          <w:tcPr>
            <w:tcW w:type="dxa" w:w="450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Field</w:t>
            </w:r>
          </w:p>
        </w:tc>
        <w:tc>
          <w:tcPr>
            <w:tcW w:type="dxa" w:w="450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Value</w:t>
            </w:r>
          </w:p>
        </w:tc>
      </w:tr>
      <w:tr>
        <w:trPr>
          <w:trHeight w:val="720" w:hRule="atLeast"/>
        </w:trPr>
        <w:tc>
          <w:tcPr>
            <w:tcW w:type="dxa" w:w="450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Agent name</w:t>
            </w:r>
          </w:p>
        </w:tc>
        <w:tc>
          <w:tcPr>
            <w:tcW w:type="dxa" w:w="450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              ]</w:t>
            </w:r>
          </w:p>
        </w:tc>
      </w:tr>
      <w:tr>
        <w:trPr>
          <w:trHeight w:val="720" w:hRule="atLeast"/>
        </w:trPr>
        <w:tc>
          <w:tcPr>
            <w:tcW w:type="dxa" w:w="450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Evaluator name</w:t>
            </w:r>
          </w:p>
        </w:tc>
        <w:tc>
          <w:tcPr>
            <w:tcW w:type="dxa" w:w="450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              ]</w:t>
            </w:r>
          </w:p>
        </w:tc>
      </w:tr>
      <w:tr>
        <w:trPr>
          <w:trHeight w:val="720" w:hRule="atLeast"/>
        </w:trPr>
        <w:tc>
          <w:tcPr>
            <w:tcW w:type="dxa" w:w="450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Date reviewed</w:t>
            </w:r>
          </w:p>
        </w:tc>
        <w:tc>
          <w:tcPr>
            <w:tcW w:type="dxa" w:w="450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MM/DD/YYYY ]</w:t>
            </w:r>
          </w:p>
        </w:tc>
      </w:tr>
      <w:tr>
        <w:trPr>
          <w:trHeight w:val="720" w:hRule="atLeast"/>
        </w:trPr>
        <w:tc>
          <w:tcPr>
            <w:tcW w:type="dxa" w:w="450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Channel</w:t>
            </w:r>
          </w:p>
        </w:tc>
        <w:tc>
          <w:tcPr>
            <w:tcW w:type="dxa" w:w="450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Phone / Chat / Email ]</w:t>
            </w:r>
          </w:p>
        </w:tc>
      </w:tr>
      <w:tr>
        <w:trPr>
          <w:trHeight w:val="720" w:hRule="atLeast"/>
        </w:trPr>
        <w:tc>
          <w:tcPr>
            <w:tcW w:type="dxa" w:w="450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Ticket / Call ID</w:t>
            </w:r>
          </w:p>
        </w:tc>
        <w:tc>
          <w:tcPr>
            <w:tcW w:type="dxa" w:w="450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              ]</w:t>
            </w:r>
          </w:p>
        </w:tc>
      </w:tr>
      <w:tr>
        <w:trPr>
          <w:trHeight w:val="720" w:hRule="atLeast"/>
        </w:trPr>
        <w:tc>
          <w:tcPr>
            <w:tcW w:type="dxa" w:w="450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Interaction type</w:t>
            </w:r>
          </w:p>
        </w:tc>
        <w:tc>
          <w:tcPr>
            <w:tcW w:type="dxa" w:w="450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Billing / Tech / Retention / Other ]</w:t>
            </w:r>
          </w:p>
        </w:tc>
      </w:tr>
    </w:tbl>
    <w:p>
      <w:pPr>
        <w:pStyle w:val="Heading2"/>
        <w:spacing w:after="120" w:before="240"/>
      </w:pPr>
      <w:bookmarkStart w:name="section-1" w:id="1"/>
      <w:r>
        <w:rPr>
          <w:rFonts w:ascii="Calibri" w:cs="Calibri" w:eastAsia="Calibri" w:hAnsi="Calibri"/>
          <w:b/>
          <w:bCs/>
          <w:color w:val="1F3A5F"/>
          <w:sz w:val="30"/>
          <w:szCs w:val="30"/>
        </w:rPr>
        <w:t xml:space="preserve">2. Greeting and Identity Verification</w:t>
      </w:r>
      <w:bookmarkEnd w:id="1"/>
    </w:p>
    <w:p>
      <w:pPr>
        <w:spacing w:after="12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The first 30 seconds set the tone and protect the account. Confirm the agent opened correctly before anything else happened.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  <w:trHeight w:val="480" w:hRule="atLeast"/>
        </w:trPr>
        <w:tc>
          <w:tcPr>
            <w:tcW w:type="dxa" w:w="225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Criterion</w:t>
            </w:r>
          </w:p>
        </w:tc>
        <w:tc>
          <w:tcPr>
            <w:tcW w:type="dxa" w:w="225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Weight</w:t>
            </w:r>
          </w:p>
        </w:tc>
        <w:tc>
          <w:tcPr>
            <w:tcW w:type="dxa" w:w="225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Yes / No / N/A</w:t>
            </w:r>
          </w:p>
        </w:tc>
        <w:tc>
          <w:tcPr>
            <w:tcW w:type="dxa" w:w="225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Notes</w:t>
            </w:r>
          </w:p>
        </w:tc>
      </w:tr>
      <w:tr>
        <w:trPr>
          <w:trHeight w:val="720" w:hRule="atLeast"/>
        </w:trPr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Answered within the target time and used the approved branded greeting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      ]</w:t>
            </w:r>
          </w:p>
        </w:tc>
      </w:tr>
      <w:tr>
        <w:trPr>
          <w:trHeight w:val="720" w:hRule="atLeast"/>
        </w:trPr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Stated their name and offered to help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      ]</w:t>
            </w:r>
          </w:p>
        </w:tc>
      </w:tr>
      <w:tr>
        <w:trPr>
          <w:trHeight w:val="720" w:hRule="atLeast"/>
        </w:trPr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Verified the customer identity per policy before discussing account details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      ]</w:t>
            </w:r>
          </w:p>
        </w:tc>
      </w:tr>
      <w:tr>
        <w:trPr>
          <w:trHeight w:val="720" w:hRule="atLeast"/>
        </w:trPr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Confirmed or captured the reason for contact in their own words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      ]</w:t>
            </w:r>
          </w:p>
        </w:tc>
      </w:tr>
      <w:tr>
        <w:trPr>
          <w:trHeight w:val="720" w:hRule="atLeast"/>
        </w:trPr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Set expectations for how the interaction would proceed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      ]</w:t>
            </w:r>
          </w:p>
        </w:tc>
      </w:tr>
    </w:tbl>
    <w:p>
      <w:pPr>
        <w:pStyle w:val="Heading2"/>
        <w:spacing w:after="120" w:before="240"/>
      </w:pPr>
      <w:bookmarkStart w:name="section-2" w:id="1"/>
      <w:r>
        <w:rPr>
          <w:rFonts w:ascii="Calibri" w:cs="Calibri" w:eastAsia="Calibri" w:hAnsi="Calibri"/>
          <w:b/>
          <w:bCs/>
          <w:color w:val="1F3A5F"/>
          <w:sz w:val="30"/>
          <w:szCs w:val="30"/>
        </w:rPr>
        <w:t xml:space="preserve">3. Communication and Soft Skills</w:t>
      </w:r>
      <w:bookmarkEnd w:id="1"/>
    </w:p>
    <w:p>
      <w:pPr>
        <w:shd w:fill="FFF6E5" w:color="auto" w:val="clear"/>
        <w:spacing w:after="120" w:before="120"/>
      </w:pPr>
      <w:r>
        <w:rPr>
          <w:rFonts w:ascii="Calibri" w:cs="Calibri" w:eastAsia="Calibri" w:hAnsi="Calibri"/>
          <w:b/>
          <w:bCs/>
          <w:color w:val="262626"/>
          <w:sz w:val="22"/>
          <w:szCs w:val="22"/>
        </w:rPr>
        <w:t xml:space="preserve">Tip: </w:t>
      </w:r>
      <w:r>
        <w:rPr>
          <w:rFonts w:ascii="Calibri" w:cs="Calibri" w:eastAsia="Calibri" w:hAnsi="Calibri"/>
          <w:color w:val="262626"/>
          <w:sz w:val="22"/>
          <w:szCs w:val="22"/>
        </w:rPr>
        <w:t xml:space="preserve">Soft skills are where CSAT is won or lost. Score what the customer felt, not just what the agent said.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  <w:trHeight w:val="480" w:hRule="atLeast"/>
        </w:trPr>
        <w:tc>
          <w:tcPr>
            <w:tcW w:type="dxa" w:w="225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Criterion</w:t>
            </w:r>
          </w:p>
        </w:tc>
        <w:tc>
          <w:tcPr>
            <w:tcW w:type="dxa" w:w="225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Weight</w:t>
            </w:r>
          </w:p>
        </w:tc>
        <w:tc>
          <w:tcPr>
            <w:tcW w:type="dxa" w:w="225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Yes / No / N/A</w:t>
            </w:r>
          </w:p>
        </w:tc>
        <w:tc>
          <w:tcPr>
            <w:tcW w:type="dxa" w:w="225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Notes</w:t>
            </w:r>
          </w:p>
        </w:tc>
      </w:tr>
      <w:tr>
        <w:trPr>
          <w:trHeight w:val="720" w:hRule="atLeast"/>
        </w:trPr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Used a warm, professional tone appropriate to the situation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      ]</w:t>
            </w:r>
          </w:p>
        </w:tc>
      </w:tr>
      <w:tr>
        <w:trPr>
          <w:trHeight w:val="720" w:hRule="atLeast"/>
        </w:trPr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Listened actively and let the customer finish without interrupting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      ]</w:t>
            </w:r>
          </w:p>
        </w:tc>
      </w:tr>
      <w:tr>
        <w:trPr>
          <w:trHeight w:val="720" w:hRule="atLeast"/>
        </w:trPr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Showed empathy and acknowledged the customer feeling or frustration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      ]</w:t>
            </w:r>
          </w:p>
        </w:tc>
      </w:tr>
      <w:tr>
        <w:trPr>
          <w:trHeight w:val="720" w:hRule="atLeast"/>
        </w:trPr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Avoided jargon and explained next steps in plain language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      ]</w:t>
            </w:r>
          </w:p>
        </w:tc>
      </w:tr>
      <w:tr>
        <w:trPr>
          <w:trHeight w:val="720" w:hRule="atLeast"/>
        </w:trPr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Controlled the pace and managed hold or dead-air time well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      ]</w:t>
            </w:r>
          </w:p>
        </w:tc>
      </w:tr>
      <w:tr>
        <w:trPr>
          <w:trHeight w:val="720" w:hRule="atLeast"/>
        </w:trPr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Personalized the interaction rather than reading a flat script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      ]</w:t>
            </w:r>
          </w:p>
        </w:tc>
      </w:tr>
    </w:tbl>
    <w:p>
      <w:pPr>
        <w:pStyle w:val="Heading2"/>
        <w:spacing w:after="120" w:before="240"/>
      </w:pPr>
      <w:bookmarkStart w:name="section-3" w:id="1"/>
      <w:r>
        <w:rPr>
          <w:rFonts w:ascii="Calibri" w:cs="Calibri" w:eastAsia="Calibri" w:hAnsi="Calibri"/>
          <w:b/>
          <w:bCs/>
          <w:color w:val="1F3A5F"/>
          <w:sz w:val="30"/>
          <w:szCs w:val="30"/>
        </w:rPr>
        <w:t xml:space="preserve">4. Accuracy and Problem Resolution</w:t>
      </w:r>
      <w:bookmarkEnd w:id="1"/>
    </w:p>
    <w:p>
      <w:pPr>
        <w:spacing w:after="12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The single most important dimension. A friendly call that gives the wrong answer still fails the customer.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  <w:trHeight w:val="480" w:hRule="atLeast"/>
        </w:trPr>
        <w:tc>
          <w:tcPr>
            <w:tcW w:type="dxa" w:w="225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Criterion</w:t>
            </w:r>
          </w:p>
        </w:tc>
        <w:tc>
          <w:tcPr>
            <w:tcW w:type="dxa" w:w="225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Weight</w:t>
            </w:r>
          </w:p>
        </w:tc>
        <w:tc>
          <w:tcPr>
            <w:tcW w:type="dxa" w:w="225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Yes / No / N/A</w:t>
            </w:r>
          </w:p>
        </w:tc>
        <w:tc>
          <w:tcPr>
            <w:tcW w:type="dxa" w:w="225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Notes</w:t>
            </w:r>
          </w:p>
        </w:tc>
      </w:tr>
      <w:tr>
        <w:trPr>
          <w:trHeight w:val="720" w:hRule="atLeast"/>
        </w:trPr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Correctly diagnosed the underlying issue, not just the symptom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      ]</w:t>
            </w:r>
          </w:p>
        </w:tc>
      </w:tr>
      <w:tr>
        <w:trPr>
          <w:trHeight w:val="720" w:hRule="atLeast"/>
        </w:trPr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Provided accurate, complete, and up-to-date information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      ]</w:t>
            </w:r>
          </w:p>
        </w:tc>
      </w:tr>
      <w:tr>
        <w:trPr>
          <w:trHeight w:val="720" w:hRule="atLeast"/>
        </w:trPr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Followed the correct process or knowledge-base article for this issue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      ]</w:t>
            </w:r>
          </w:p>
        </w:tc>
      </w:tr>
      <w:tr>
        <w:trPr>
          <w:trHeight w:val="720" w:hRule="atLeast"/>
        </w:trPr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Resolved the issue on this contact where possible (first contact resolution)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      ]</w:t>
            </w:r>
          </w:p>
        </w:tc>
      </w:tr>
      <w:tr>
        <w:trPr>
          <w:trHeight w:val="720" w:hRule="atLeast"/>
        </w:trPr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Set a clear follow-up plan when the issue could not be closed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      ]</w:t>
            </w:r>
          </w:p>
        </w:tc>
      </w:tr>
      <w:tr>
        <w:trPr>
          <w:trHeight w:val="720" w:hRule="atLeast"/>
        </w:trPr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Confirmed the customer understood and agreed the issue was resolved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      ]</w:t>
            </w:r>
          </w:p>
        </w:tc>
      </w:tr>
    </w:tbl>
    <w:p>
      <w:pPr>
        <w:pStyle w:val="Heading2"/>
        <w:spacing w:after="120" w:before="240"/>
      </w:pPr>
      <w:bookmarkStart w:name="section-4" w:id="1"/>
      <w:r>
        <w:rPr>
          <w:rFonts w:ascii="Calibri" w:cs="Calibri" w:eastAsia="Calibri" w:hAnsi="Calibri"/>
          <w:b/>
          <w:bCs/>
          <w:color w:val="1F3A5F"/>
          <w:sz w:val="30"/>
          <w:szCs w:val="30"/>
        </w:rPr>
        <w:t xml:space="preserve">5. Compliance and Security</w:t>
      </w:r>
      <w:bookmarkEnd w:id="1"/>
    </w:p>
    <w:p>
      <w:pPr>
        <w:shd w:fill="FFF6E5" w:color="auto" w:val="clear"/>
        <w:spacing w:after="120" w:before="120"/>
      </w:pPr>
      <w:r>
        <w:rPr>
          <w:rFonts w:ascii="Calibri" w:cs="Calibri" w:eastAsia="Calibri" w:hAnsi="Calibri"/>
          <w:b/>
          <w:bCs/>
          <w:color w:val="262626"/>
          <w:sz w:val="22"/>
          <w:szCs w:val="22"/>
        </w:rPr>
        <w:t xml:space="preserve">Warning: </w:t>
      </w:r>
      <w:r>
        <w:rPr>
          <w:rFonts w:ascii="Calibri" w:cs="Calibri" w:eastAsia="Calibri" w:hAnsi="Calibri"/>
          <w:color w:val="262626"/>
          <w:sz w:val="22"/>
          <w:szCs w:val="22"/>
        </w:rPr>
        <w:t xml:space="preserve">These are auto-fail criteria in most programs. A single miss here can outweigh a perfect score everywhere else.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  <w:trHeight w:val="480" w:hRule="atLeast"/>
        </w:trPr>
        <w:tc>
          <w:tcPr>
            <w:tcW w:type="dxa" w:w="225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Criterion</w:t>
            </w:r>
          </w:p>
        </w:tc>
        <w:tc>
          <w:tcPr>
            <w:tcW w:type="dxa" w:w="225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Weight</w:t>
            </w:r>
          </w:p>
        </w:tc>
        <w:tc>
          <w:tcPr>
            <w:tcW w:type="dxa" w:w="225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Yes / No / N/A</w:t>
            </w:r>
          </w:p>
        </w:tc>
        <w:tc>
          <w:tcPr>
            <w:tcW w:type="dxa" w:w="225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Notes</w:t>
            </w:r>
          </w:p>
        </w:tc>
      </w:tr>
      <w:tr>
        <w:trPr>
          <w:trHeight w:val="720" w:hRule="atLeast"/>
        </w:trPr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Completed all required disclosures and disclaimers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      ]</w:t>
            </w:r>
          </w:p>
        </w:tc>
      </w:tr>
      <w:tr>
        <w:trPr>
          <w:trHeight w:val="720" w:hRule="atLeast"/>
        </w:trPr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Handled payment or sensitive data per PCI / data-handling policy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      ]</w:t>
            </w:r>
          </w:p>
        </w:tc>
      </w:tr>
      <w:tr>
        <w:trPr>
          <w:trHeight w:val="720" w:hRule="atLeast"/>
        </w:trPr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Followed applicable regulatory scripting (e.g., recording notice, consent)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      ]</w:t>
            </w:r>
          </w:p>
        </w:tc>
      </w:tr>
      <w:tr>
        <w:trPr>
          <w:trHeight w:val="720" w:hRule="atLeast"/>
        </w:trPr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Did not make unauthorized promises, commitments, or exceptions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      ]</w:t>
            </w:r>
          </w:p>
        </w:tc>
      </w:tr>
      <w:tr>
        <w:trPr>
          <w:trHeight w:val="720" w:hRule="atLeast"/>
        </w:trPr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Documented the interaction accurately in the system of record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      ]</w:t>
            </w:r>
          </w:p>
        </w:tc>
      </w:tr>
    </w:tbl>
    <w:p>
      <w:pPr>
        <w:pStyle w:val="Heading2"/>
        <w:spacing w:after="120" w:before="240"/>
      </w:pPr>
      <w:bookmarkStart w:name="section-5" w:id="1"/>
      <w:r>
        <w:rPr>
          <w:rFonts w:ascii="Calibri" w:cs="Calibri" w:eastAsia="Calibri" w:hAnsi="Calibri"/>
          <w:b/>
          <w:bCs/>
          <w:color w:val="1F3A5F"/>
          <w:sz w:val="30"/>
          <w:szCs w:val="30"/>
        </w:rPr>
        <w:t xml:space="preserve">6. Process and Tool Adherence</w:t>
      </w:r>
      <w:bookmarkEnd w:id="1"/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  <w:trHeight w:val="480" w:hRule="atLeast"/>
        </w:trPr>
        <w:tc>
          <w:tcPr>
            <w:tcW w:type="dxa" w:w="225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Criterion</w:t>
            </w:r>
          </w:p>
        </w:tc>
        <w:tc>
          <w:tcPr>
            <w:tcW w:type="dxa" w:w="225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Weight</w:t>
            </w:r>
          </w:p>
        </w:tc>
        <w:tc>
          <w:tcPr>
            <w:tcW w:type="dxa" w:w="225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Yes / No / N/A</w:t>
            </w:r>
          </w:p>
        </w:tc>
        <w:tc>
          <w:tcPr>
            <w:tcW w:type="dxa" w:w="225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Notes</w:t>
            </w:r>
          </w:p>
        </w:tc>
      </w:tr>
      <w:tr>
        <w:trPr>
          <w:trHeight w:val="720" w:hRule="atLeast"/>
        </w:trPr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Used the correct disposition or wrap-up codes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      ]</w:t>
            </w:r>
          </w:p>
        </w:tc>
      </w:tr>
      <w:tr>
        <w:trPr>
          <w:trHeight w:val="720" w:hRule="atLeast"/>
        </w:trPr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Logged notes clearly enough for the next agent to pick up the thread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      ]</w:t>
            </w:r>
          </w:p>
        </w:tc>
      </w:tr>
      <w:tr>
        <w:trPr>
          <w:trHeight w:val="720" w:hRule="atLeast"/>
        </w:trPr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Followed the escalation path when the issue exceeded their scope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      ]</w:t>
            </w:r>
          </w:p>
        </w:tc>
      </w:tr>
      <w:tr>
        <w:trPr>
          <w:trHeight w:val="720" w:hRule="atLeast"/>
        </w:trPr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Used approved tools and templates rather than workarounds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      ]</w:t>
            </w:r>
          </w:p>
        </w:tc>
      </w:tr>
      <w:tr>
        <w:trPr>
          <w:trHeight w:val="720" w:hRule="atLeast"/>
        </w:trPr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Applied any active offers, retention flows, or upsell rules correctly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      ]</w:t>
            </w:r>
          </w:p>
        </w:tc>
      </w:tr>
    </w:tbl>
    <w:p>
      <w:pPr>
        <w:pStyle w:val="Heading2"/>
        <w:spacing w:after="120" w:before="240"/>
      </w:pPr>
      <w:bookmarkStart w:name="section-6" w:id="1"/>
      <w:r>
        <w:rPr>
          <w:rFonts w:ascii="Calibri" w:cs="Calibri" w:eastAsia="Calibri" w:hAnsi="Calibri"/>
          <w:b/>
          <w:bCs/>
          <w:color w:val="1F3A5F"/>
          <w:sz w:val="30"/>
          <w:szCs w:val="30"/>
        </w:rPr>
        <w:t xml:space="preserve">7. Call Closing</w:t>
      </w:r>
      <w:bookmarkEnd w:id="1"/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  <w:trHeight w:val="480" w:hRule="atLeast"/>
        </w:trPr>
        <w:tc>
          <w:tcPr>
            <w:tcW w:type="dxa" w:w="225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Criterion</w:t>
            </w:r>
          </w:p>
        </w:tc>
        <w:tc>
          <w:tcPr>
            <w:tcW w:type="dxa" w:w="225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Weight</w:t>
            </w:r>
          </w:p>
        </w:tc>
        <w:tc>
          <w:tcPr>
            <w:tcW w:type="dxa" w:w="225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Yes / No / N/A</w:t>
            </w:r>
          </w:p>
        </w:tc>
        <w:tc>
          <w:tcPr>
            <w:tcW w:type="dxa" w:w="225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Notes</w:t>
            </w:r>
          </w:p>
        </w:tc>
      </w:tr>
      <w:tr>
        <w:trPr>
          <w:trHeight w:val="720" w:hRule="atLeast"/>
        </w:trPr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Recapped the resolution and any next steps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      ]</w:t>
            </w:r>
          </w:p>
        </w:tc>
      </w:tr>
      <w:tr>
        <w:trPr>
          <w:trHeight w:val="720" w:hRule="atLeast"/>
        </w:trPr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Asked if there was anything else they could help with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      ]</w:t>
            </w:r>
          </w:p>
        </w:tc>
      </w:tr>
      <w:tr>
        <w:trPr>
          <w:trHeight w:val="720" w:hRule="atLeast"/>
        </w:trPr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Delivered the approved closing and thanked the customer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      ]</w:t>
            </w:r>
          </w:p>
        </w:tc>
      </w:tr>
      <w:tr>
        <w:trPr>
          <w:trHeight w:val="720" w:hRule="atLeast"/>
        </w:trPr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Invited the survey or feedback where required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      ]</w:t>
            </w:r>
          </w:p>
        </w:tc>
      </w:tr>
    </w:tbl>
    <w:p>
      <w:pPr>
        <w:pStyle w:val="Heading2"/>
        <w:spacing w:after="120" w:before="240"/>
      </w:pPr>
      <w:bookmarkStart w:name="section-7" w:id="1"/>
      <w:r>
        <w:rPr>
          <w:rFonts w:ascii="Calibri" w:cs="Calibri" w:eastAsia="Calibri" w:hAnsi="Calibri"/>
          <w:b/>
          <w:bCs/>
          <w:color w:val="1F3A5F"/>
          <w:sz w:val="30"/>
          <w:szCs w:val="30"/>
        </w:rPr>
        <w:t xml:space="preserve">8. Scoring Summary</w:t>
      </w:r>
      <w:bookmarkEnd w:id="1"/>
    </w:p>
    <w:p>
      <w:pPr>
        <w:spacing w:after="12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Total the weighted score and record whether any auto-fail criterion was missed. Use the coaching notes to turn the review into one specific, actionable change for the next call.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  <w:trHeight w:val="480" w:hRule="atLeast"/>
        </w:trPr>
        <w:tc>
          <w:tcPr>
            <w:tcW w:type="dxa" w:w="450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Field</w:t>
            </w:r>
          </w:p>
        </w:tc>
        <w:tc>
          <w:tcPr>
            <w:tcW w:type="dxa" w:w="450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Value</w:t>
            </w:r>
          </w:p>
        </w:tc>
      </w:tr>
      <w:tr>
        <w:trPr>
          <w:trHeight w:val="720" w:hRule="atLeast"/>
        </w:trPr>
        <w:tc>
          <w:tcPr>
            <w:tcW w:type="dxa" w:w="450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Total score</w:t>
            </w:r>
          </w:p>
        </w:tc>
        <w:tc>
          <w:tcPr>
            <w:tcW w:type="dxa" w:w="450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] / [ 100 ]</w:t>
            </w:r>
          </w:p>
        </w:tc>
      </w:tr>
      <w:tr>
        <w:trPr>
          <w:trHeight w:val="720" w:hRule="atLeast"/>
        </w:trPr>
        <w:tc>
          <w:tcPr>
            <w:tcW w:type="dxa" w:w="450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Auto-fail triggered?</w:t>
            </w:r>
          </w:p>
        </w:tc>
        <w:tc>
          <w:tcPr>
            <w:tcW w:type="dxa" w:w="450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Yes / No ]</w:t>
            </w:r>
          </w:p>
        </w:tc>
      </w:tr>
      <w:tr>
        <w:trPr>
          <w:trHeight w:val="720" w:hRule="atLeast"/>
        </w:trPr>
        <w:tc>
          <w:tcPr>
            <w:tcW w:type="dxa" w:w="450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Result</w:t>
            </w:r>
          </w:p>
        </w:tc>
        <w:tc>
          <w:tcPr>
            <w:tcW w:type="dxa" w:w="450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Pass / Coach / Fail ]</w:t>
            </w:r>
          </w:p>
        </w:tc>
      </w:tr>
      <w:tr>
        <w:trPr>
          <w:trHeight w:val="720" w:hRule="atLeast"/>
        </w:trPr>
        <w:tc>
          <w:tcPr>
            <w:tcW w:type="dxa" w:w="450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Top strength</w:t>
            </w:r>
          </w:p>
        </w:tc>
        <w:tc>
          <w:tcPr>
            <w:tcW w:type="dxa" w:w="450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                                  ]</w:t>
            </w:r>
          </w:p>
        </w:tc>
      </w:tr>
      <w:tr>
        <w:trPr>
          <w:trHeight w:val="720" w:hRule="atLeast"/>
        </w:trPr>
        <w:tc>
          <w:tcPr>
            <w:tcW w:type="dxa" w:w="450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Priority coaching focus</w:t>
            </w:r>
          </w:p>
        </w:tc>
        <w:tc>
          <w:tcPr>
            <w:tcW w:type="dxa" w:w="450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                                       ]</w:t>
            </w:r>
          </w:p>
        </w:tc>
      </w:tr>
      <w:tr>
        <w:trPr>
          <w:trHeight w:val="720" w:hRule="atLeast"/>
        </w:trPr>
        <w:tc>
          <w:tcPr>
            <w:tcW w:type="dxa" w:w="450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Follow-up / re-review date</w:t>
            </w:r>
          </w:p>
        </w:tc>
        <w:tc>
          <w:tcPr>
            <w:tcW w:type="dxa" w:w="450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 MM/DD/YYYY ]</w:t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  <w:b/>
          <w:bCs/>
          <w:color w:val="262626"/>
          <w:sz w:val="20"/>
          <w:szCs w:val="20"/>
        </w:rPr>
        <w:t xml:space="preserve">Agent acknowledgement: </w:t>
      </w:r>
      <w:r>
        <w:rPr>
          <w:rFonts w:ascii="Calibri" w:cs="Calibri" w:eastAsia="Calibri" w:hAnsi="Calibri"/>
          <w:color w:val="262626"/>
          <w:sz w:val="20"/>
          <w:szCs w:val="20"/>
        </w:rPr>
        <w:t xml:space="preserve">[ Signature / Date ]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62626"/>
          <w:sz w:val="20"/>
          <w:szCs w:val="20"/>
        </w:rPr>
        <w:t xml:space="preserve">Evaluator: </w:t>
      </w:r>
      <w:r>
        <w:rPr>
          <w:rFonts w:ascii="Calibri" w:cs="Calibri" w:eastAsia="Calibri" w:hAnsi="Calibri"/>
          <w:color w:val="262626"/>
          <w:sz w:val="20"/>
          <w:szCs w:val="20"/>
        </w:rPr>
        <w:t xml:space="preserve">[ Signature / Date ]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7635DC"/>
        <w:sz w:val="18"/>
        <w:szCs w:val="18"/>
      </w:rPr>
      <w:t xml:space="preserve">www.glitter.io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62626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2t3g3w0b3j4l1hvhp9hn-" Type="http://schemas.openxmlformats.org/officeDocument/2006/relationships/hyperlink" Target="https://www.glitter.io?utm_source=template&amp;utm_medium=docx&amp;utm_campaign=downloadable_asset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Call Center Quality Assurance Checklist</dc:title>
  <dc:creator>Glitter AI</dc:creator>
  <cp:lastModifiedBy>Un-named</cp:lastModifiedBy>
  <cp:revision>1</cp:revision>
  <dcterms:created xsi:type="dcterms:W3CDTF">2026-08-17T09:36:23.886Z</dcterms:created>
  <dcterms:modified xsi:type="dcterms:W3CDTF">2026-08-17T09:36:23.886Z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