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7635DC" w:sz="6" w:space="8"/>
          <w:bottom w:val="single" w:color="7635DC" w:sz="6" w:space="8"/>
          <w:left w:val="single" w:color="7635DC" w:sz="6" w:space="8"/>
          <w:right w:val="single" w:color="7635DC" w:sz="6" w:space="8"/>
        </w:pBdr>
        <w:shd w:fill="F4EEFE" w:color="auto" w:val="clear"/>
        <w:spacing w:after="240" w:before="0"/>
        <w:jc w:val="center"/>
      </w:pPr>
      <w:r>
        <w:rPr>
          <w:rFonts w:ascii="Calibri" w:cs="Calibri" w:eastAsia="Calibri" w:hAnsi="Calibri"/>
          <w:b/>
          <w:bCs/>
          <w:color w:val="7635DC"/>
          <w:sz w:val="22"/>
          <w:szCs w:val="22"/>
        </w:rPr>
        <w:t xml:space="preserve">Made with Glitter AI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 — turn any process into a video SOP in minutes. </w:t>
      </w:r>
      <w:hyperlink w:history="1" r:id="rIdyctujhpltnezmm8slff2s">
        <w:r>
          <w:rPr>
            <w:rFonts w:ascii="Calibri" w:cs="Calibri" w:eastAsia="Calibri" w:hAnsi="Calibri"/>
            <w:b/>
            <w:bCs/>
            <w:color w:val="7635DC"/>
            <w:sz w:val="22"/>
            <w:szCs w:val="22"/>
            <w:u w:val="single" w:color="7635DC"/>
          </w:rPr>
          <w:t xml:space="preserve">Try free at glitter.io →</w:t>
        </w:r>
      </w:hyperlink>
    </w:p>
    <w:p>
      <w:pPr>
        <w:pStyle w:val="Heading1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6"/>
          <w:szCs w:val="36"/>
        </w:rPr>
        <w:t xml:space="preserve">[Procedure Name] - Customer Service SOP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Table of Contents</w:t>
      </w:r>
    </w:p>
    <w:p>
      <w:pPr>
        <w:spacing w:after="60"/>
        <w:ind w:left="360"/>
      </w:pPr>
      <w:hyperlink w:history="1" w:anchor="section-0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1. Scope</w:t>
        </w:r>
      </w:hyperlink>
    </w:p>
    <w:p>
      <w:pPr>
        <w:spacing w:after="60"/>
        <w:ind w:left="360"/>
      </w:pPr>
      <w:hyperlink w:history="1" w:anchor="section-1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2. Owner and Approvers</w:t>
        </w:r>
      </w:hyperlink>
    </w:p>
    <w:p>
      <w:pPr>
        <w:spacing w:after="60"/>
        <w:ind w:left="360"/>
      </w:pPr>
      <w:hyperlink w:history="1" w:anchor="section-2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3. Tools and Systems</w:t>
        </w:r>
      </w:hyperlink>
    </w:p>
    <w:p>
      <w:pPr>
        <w:spacing w:after="60"/>
        <w:ind w:left="360"/>
      </w:pPr>
      <w:hyperlink w:history="1" w:anchor="section-3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4. Required Information Before Starting</w:t>
        </w:r>
      </w:hyperlink>
    </w:p>
    <w:p>
      <w:pPr>
        <w:spacing w:after="60"/>
        <w:ind w:left="360"/>
      </w:pPr>
      <w:hyperlink w:history="1" w:anchor="section-4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5. Procedure</w:t>
        </w:r>
      </w:hyperlink>
    </w:p>
    <w:p>
      <w:pPr>
        <w:spacing w:after="60"/>
        <w:ind w:left="360"/>
      </w:pPr>
      <w:hyperlink w:history="1" w:anchor="section-5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6. Escalation Path</w:t>
        </w:r>
      </w:hyperlink>
    </w:p>
    <w:p>
      <w:pPr>
        <w:spacing w:after="60"/>
        <w:ind w:left="360"/>
      </w:pPr>
      <w:hyperlink w:history="1" w:anchor="section-6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7. SLAs and Response Targets</w:t>
        </w:r>
      </w:hyperlink>
    </w:p>
    <w:p>
      <w:pPr>
        <w:spacing w:after="60"/>
        <w:ind w:left="360"/>
      </w:pPr>
      <w:hyperlink w:history="1" w:anchor="section-7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8. Macros and Canned Replies</w:t>
        </w:r>
      </w:hyperlink>
    </w:p>
    <w:p>
      <w:pPr>
        <w:spacing w:after="60"/>
        <w:ind w:left="360"/>
      </w:pPr>
      <w:hyperlink w:history="1" w:anchor="section-8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9. Edge Cases and Exceptions</w:t>
        </w:r>
      </w:hyperlink>
    </w:p>
    <w:p>
      <w:pPr>
        <w:spacing w:after="60"/>
        <w:ind w:left="360"/>
      </w:pPr>
      <w:hyperlink w:history="1" w:anchor="section-9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10. Quality Checks</w:t>
        </w:r>
      </w:hyperlink>
    </w:p>
    <w:p>
      <w:pPr>
        <w:spacing w:after="60"/>
        <w:ind w:left="360"/>
      </w:pPr>
      <w:hyperlink w:history="1" w:anchor="section-10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11. Related SOPs and References</w:t>
        </w:r>
      </w:hyperlink>
    </w:p>
    <w:p>
      <w:pPr>
        <w:pStyle w:val="Heading2"/>
        <w:spacing w:after="120" w:before="240"/>
      </w:pPr>
      <w:bookmarkStart w:name="section-0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1. Scope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[Define when this SOP applies — the channels, ticket types, customer segments, or situations it covers.]</w:t>
      </w:r>
    </w:p>
    <w:p>
      <w:pPr>
        <w:pStyle w:val="Heading2"/>
        <w:spacing w:after="120" w:before="240"/>
      </w:pPr>
      <w:bookmarkStart w:name="section-1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2. Owner and Approvers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45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Role</w:t>
            </w:r>
          </w:p>
        </w:tc>
        <w:tc>
          <w:tcPr>
            <w:tcW w:type="dxa" w:w="45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Responsibility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Process Owner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[Name / title — keeps this SOP current]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Approver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[Name / title — signs off on changes]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Subject Matter Expert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[Name / title — escalation point for edge cases]</w:t>
            </w:r>
          </w:p>
        </w:tc>
      </w:tr>
    </w:tbl>
    <w:p>
      <w:pPr>
        <w:pStyle w:val="Heading2"/>
        <w:spacing w:after="120" w:before="240"/>
      </w:pPr>
      <w:bookmarkStart w:name="section-2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3. Tools and Systems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Helpdesk: [Zendesk / Intercom / Front / Help Scout / Salesforce Service Cloud / Freshdesk]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Knowledge base: [Confluence / Notion / internal wiki]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Other: [Billing system, identity provider, status page, etc.]</w:t>
      </w:r>
    </w:p>
    <w:p>
      <w:pPr>
        <w:pStyle w:val="Heading2"/>
        <w:spacing w:after="120" w:before="240"/>
      </w:pPr>
      <w:bookmarkStart w:name="section-3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4. Required Information Before Starting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[Customer identifier — email, account ID, order number]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[Verification factor — last 4 of card, security question, SSO check]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[Context fields — plan, tenure, prior tickets]</w:t>
      </w:r>
    </w:p>
    <w:p>
      <w:pPr>
        <w:pStyle w:val="Heading2"/>
        <w:spacing w:after="120" w:before="240"/>
      </w:pPr>
      <w:bookmarkStart w:name="section-4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5. Procedure</w:t>
      </w:r>
      <w:bookmarkEnd w:id="1"/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1 — [Trigger / Intake]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[What kicks this off and what the rep does in the first 60 seconds.]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2 — [Verify and Categorize]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[How to confirm identity and tag the ticket so routing and reporting work.]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3 — [Resolve]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[The actual fix. Numbered sub-steps, with the exact macro / canned reply name to use.]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4 — [Confirm and Close]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[How to confirm resolution with the customer, what status to set, what to log.]</w:t>
      </w:r>
    </w:p>
    <w:p>
      <w:pPr>
        <w:pStyle w:val="Heading2"/>
        <w:spacing w:after="120" w:before="240"/>
      </w:pPr>
      <w:bookmarkStart w:name="section-5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6. Escalation Path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Trigger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Escalate To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SLA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[Condition — e.g., refund &gt; $X, VIP account, legal threat]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[Tier 2 / Manager / Engineering]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[Response time]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[Condition]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[Owner]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[SLA]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[Condition]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[Owner]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[SLA]</w:t>
            </w:r>
          </w:p>
        </w:tc>
      </w:tr>
    </w:tbl>
    <w:p>
      <w:pPr>
        <w:pStyle w:val="Heading2"/>
        <w:spacing w:after="120" w:before="240"/>
      </w:pPr>
      <w:bookmarkStart w:name="section-6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7. SLAs and Response Targets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First response: [time]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Resolution target: [time]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CSAT target: [score]</w:t>
      </w:r>
    </w:p>
    <w:p>
      <w:pPr>
        <w:pStyle w:val="Heading2"/>
        <w:spacing w:after="120" w:before="240"/>
      </w:pPr>
      <w:bookmarkStart w:name="section-7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8. Macros and Canned Replies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[List the macro names from your helpdesk that this SOP uses, with a one-line description of when to send each.]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[Macro name] — [when to use]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[Macro name] — [when to use]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[Macro name] — [when to use]</w:t>
      </w:r>
    </w:p>
    <w:p>
      <w:pPr>
        <w:pStyle w:val="Heading2"/>
        <w:spacing w:after="120" w:before="240"/>
      </w:pPr>
      <w:bookmarkStart w:name="section-8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9. Edge Cases and Exceptions</w:t>
      </w:r>
      <w:bookmarkEnd w:id="1"/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Warning: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Do NOT [common mistake to avoid — e.g., issue refunds without manager approval over $X].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[Edge case 1] → [What to do instead]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[Edge case 2] → [What to do instead]</w:t>
      </w:r>
    </w:p>
    <w:p>
      <w:pPr>
        <w:pStyle w:val="Heading2"/>
        <w:spacing w:after="120" w:before="240"/>
      </w:pPr>
      <w:bookmarkStart w:name="section-9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10. Quality Checks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[QA criterion — e.g., correct tag applied, identity verified, macro sent]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[QA criterion]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[QA criterion]</w:t>
      </w:r>
    </w:p>
    <w:p>
      <w:pPr>
        <w:pStyle w:val="Heading2"/>
        <w:spacing w:after="120" w:before="240"/>
      </w:pPr>
      <w:bookmarkStart w:name="section-10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11. Related SOPs and References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[Link to related SOP]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[Link to KB article]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[Link to policy doc]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SOP Number: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[CS-XXX-YY]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Version: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[1.0]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Effective Date: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Last Reviewed: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Next Review Date: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Approved by: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[Name and Title]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635DC"/>
        <w:sz w:val="18"/>
        <w:szCs w:val="18"/>
      </w:rPr>
      <w:t xml:space="preserve">www.glitter.io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6262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yctujhpltnezmm8slff2s" Type="http://schemas.openxmlformats.org/officeDocument/2006/relationships/hyperlink" Target="https://www.glitter.io?utm_source=template&amp;utm_medium=docx&amp;utm_campaign=downloadable_asset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[Procedure Name] - Customer Service SOP</dc:title>
  <dc:creator>Glitter AI</dc:creator>
  <cp:lastModifiedBy>Un-named</cp:lastModifiedBy>
  <cp:revision>1</cp:revision>
  <dcterms:created xsi:type="dcterms:W3CDTF">2026-05-04T10:47:30.617Z</dcterms:created>
  <dcterms:modified xsi:type="dcterms:W3CDTF">2026-05-04T10:47:30.618Z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