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2i_nyicyweyny1i0jphvg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[Process Name] - HR SOP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Purpose and Scope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Owner and RACI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Trigger Events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Systems and Documents Involved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Procedure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Compliance Requirements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Edge Cases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Quality and Audit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Related Policies and SOPs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Purpose and Scope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[State the HR process this SOP covers — e.g., "Employee offboarding for full-time US employees" — and which entities, locations, or employee types it applies to.]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Owner and RACI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Role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 / A / C / I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Responsibility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HRBP / HR Generalist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[Accountable for the process running end-to-end]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People Ops Coordinator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[Responsible for executing each step]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Manager of employee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[Initiates, communicates, signs off]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Legal / Compliance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[Consulted for terminations, leaves, accommodations]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IT / Security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 / 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[Provisioning, deprovisioning, access reviews]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Finance / Payroll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 / 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[Comp changes, final pay, expenses]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Trigger Events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[What event starts this process — e.g., signed offer, termination notice, leave request, anniversary date]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[Source of trigger — HRIS event, manager submission, employee self-service]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[SLA from trigger to first action]</w:t>
      </w:r>
    </w:p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Systems and Documents Involved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HRIS: [Workday / BambooHR / Rippling / Gusto / Justworks]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ATS: [Greenhouse / Lever / Ashby]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Payroll: [Provider]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IT provisioning: [Okta / Google Workspace / JumpCloud]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Document storage: [DocuSign / Adobe Sign / shared drive]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Required forms: [I-9, W-4, state withholding, benefits enrollment, NDA, IP assignment]</w:t>
      </w:r>
    </w:p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Procedure</w:t>
      </w:r>
      <w:bookmarkEnd w:id="1"/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1 — Trigger and Notify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[Who gets notified, in what system, with what data attached.]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2 — Documentation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[Forms to collect or generate, who signs, where they get filed. Note retention period.]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3 — System Updates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[Specific records to create / update in HRIS, payroll, IT — with field-by-field detail.]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4 — Communications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[Templated emails / Slack messages to employee, manager, team, and any external parties (benefits broker, immigration counsel, etc.).]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5 — Confirm and Close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[Verification checklist, who marks the case closed in the HRIS, final audit log entry.]</w:t>
      </w:r>
    </w:p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Compliance Requirements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Warning: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This process touches regulated activity. Do NOT skip documentation steps even when timeline is tight.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[Federal: e.g., I-9 Section 2 within 3 business days of start; FMLA notice within 5 business days]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[State: e.g., final pay timing — CA same day, NY next regular payday]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[Records retention: how long to keep, in what system, who has access]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[EEO data capture if applicable — never visible to manager]</w:t>
      </w:r>
    </w:p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Edge Cases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Remote / international employee: [Differences in payroll, taxes, employment type]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Visa-sponsored employee: [Notify immigration counsel, USCIS implications]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Manager unavailable: [Backup approver path]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Employee on leave: [How communications and access are handled]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Involuntary termination: [Additional legal review, security access timing, severance calc]</w:t>
      </w:r>
    </w:p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Quality and Audit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[Monthly audit: % of cases completed within SLA]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[Quarterly audit: documentation completeness, system data integrity]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[Annual review: policy and template refresh]</w:t>
      </w:r>
    </w:p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Related Policies and SOPs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[Employee handbook section]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[Related SOP — e.g., onboarding, offboarding, leave, performance]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[Manager toolkit / training link]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SOP Number: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[HR-XXX-YY]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Version: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[1.0]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Effective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Last Reviewed: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Next Review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Approved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Confidentiality: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Internal — HR Use Only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2i_nyicyweyny1i0jphvg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[Process Name] - HR SOP</dc:title>
  <dc:creator>Glitter AI</dc:creator>
  <cp:lastModifiedBy>Un-named</cp:lastModifiedBy>
  <cp:revision>1</cp:revision>
  <dcterms:created xsi:type="dcterms:W3CDTF">2026-05-04T10:47:35.745Z</dcterms:created>
  <dcterms:modified xsi:type="dcterms:W3CDTF">2026-05-04T10:47:35.745Z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