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top w:val="single" w:color="7635DC" w:sz="6" w:space="8"/>
          <w:bottom w:val="single" w:color="7635DC" w:sz="6" w:space="8"/>
          <w:left w:val="single" w:color="7635DC" w:sz="6" w:space="8"/>
          <w:right w:val="single" w:color="7635DC" w:sz="6" w:space="8"/>
        </w:pBdr>
        <w:shd w:fill="F4EEFE" w:color="auto" w:val="clear"/>
        <w:spacing w:after="240" w:before="0"/>
        <w:jc w:val="center"/>
      </w:pPr>
      <w:r>
        <w:rPr>
          <w:rFonts w:ascii="Calibri" w:cs="Calibri" w:eastAsia="Calibri" w:hAnsi="Calibri"/>
          <w:b/>
          <w:bCs/>
          <w:color w:val="7635DC"/>
          <w:sz w:val="22"/>
          <w:szCs w:val="22"/>
        </w:rPr>
        <w:t xml:space="preserve">Made with Glitter AI</w:t>
      </w:r>
      <w:r>
        <w:rPr>
          <w:rFonts w:ascii="Calibri" w:cs="Calibri" w:eastAsia="Calibri" w:hAnsi="Calibri"/>
          <w:color w:val="262626"/>
          <w:sz w:val="22"/>
          <w:szCs w:val="22"/>
        </w:rPr>
        <w:t xml:space="preserve"> — turn any process into a video SOP in minutes. </w:t>
      </w:r>
      <w:hyperlink w:history="1" r:id="rIddkx4fuswfrqenyerudnrw">
        <w:r>
          <w:rPr>
            <w:rFonts w:ascii="Calibri" w:cs="Calibri" w:eastAsia="Calibri" w:hAnsi="Calibri"/>
            <w:b/>
            <w:bCs/>
            <w:color w:val="7635DC"/>
            <w:sz w:val="22"/>
            <w:szCs w:val="22"/>
            <w:u w:val="single" w:color="7635DC"/>
          </w:rPr>
          <w:t xml:space="preserve">Try free at glitter.io →</w:t>
        </w:r>
      </w:hyperlink>
    </w:p>
    <w:p>
      <w:pPr>
        <w:pStyle w:val="Heading1"/>
        <w:spacing w:after="120" w:before="240"/>
      </w:pPr>
      <w:r>
        <w:rPr>
          <w:rFonts w:ascii="Calibri" w:cs="Calibri" w:eastAsia="Calibri" w:hAnsi="Calibri"/>
          <w:b/>
          <w:bCs/>
          <w:color w:val="1F3A5F"/>
          <w:sz w:val="36"/>
          <w:szCs w:val="36"/>
        </w:rPr>
        <w:t xml:space="preserve">Month-End Close Checklist</w:t>
      </w:r>
    </w:p>
    <w:p>
      <w:pPr>
        <w:spacing w:after="12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A reusable, area-by-area checklist for closing the books each month. Assign an owner, check off each task, and note exceptions for [Company Name], period ending [MM/DD/YYYY].</w:t>
      </w:r>
    </w:p>
    <w:p>
      <w:pPr>
        <w:pStyle w:val="Heading2"/>
        <w:spacing w:after="120" w:before="240"/>
      </w:pPr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Table of Contents</w:t>
      </w:r>
    </w:p>
    <w:p>
      <w:pPr>
        <w:spacing w:after="60"/>
        <w:ind w:left="360"/>
      </w:pPr>
      <w:hyperlink w:history="1" w:anchor="section-0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1. Pre-Close Preparation</w:t>
        </w:r>
      </w:hyperlink>
    </w:p>
    <w:p>
      <w:pPr>
        <w:spacing w:after="60"/>
        <w:ind w:left="360"/>
      </w:pPr>
      <w:hyperlink w:history="1" w:anchor="section-1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2. Cash and Bank</w:t>
        </w:r>
      </w:hyperlink>
    </w:p>
    <w:p>
      <w:pPr>
        <w:spacing w:after="60"/>
        <w:ind w:left="360"/>
      </w:pPr>
      <w:hyperlink w:history="1" w:anchor="section-2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3. Accounts Payable</w:t>
        </w:r>
      </w:hyperlink>
    </w:p>
    <w:p>
      <w:pPr>
        <w:spacing w:after="60"/>
        <w:ind w:left="360"/>
      </w:pPr>
      <w:hyperlink w:history="1" w:anchor="section-3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4. Accounts Receivable</w:t>
        </w:r>
      </w:hyperlink>
    </w:p>
    <w:p>
      <w:pPr>
        <w:spacing w:after="60"/>
        <w:ind w:left="360"/>
      </w:pPr>
      <w:hyperlink w:history="1" w:anchor="section-4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5. Payroll and Compensation</w:t>
        </w:r>
      </w:hyperlink>
    </w:p>
    <w:p>
      <w:pPr>
        <w:spacing w:after="60"/>
        <w:ind w:left="360"/>
      </w:pPr>
      <w:hyperlink w:history="1" w:anchor="section-5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6. Prepaid Expenses and Accruals</w:t>
        </w:r>
      </w:hyperlink>
    </w:p>
    <w:p>
      <w:pPr>
        <w:spacing w:after="60"/>
        <w:ind w:left="360"/>
      </w:pPr>
      <w:hyperlink w:history="1" w:anchor="section-6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7. Fixed Assets and Depreciation</w:t>
        </w:r>
      </w:hyperlink>
    </w:p>
    <w:p>
      <w:pPr>
        <w:spacing w:after="60"/>
        <w:ind w:left="360"/>
      </w:pPr>
      <w:hyperlink w:history="1" w:anchor="section-7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8. Inventory (if applicable)</w:t>
        </w:r>
      </w:hyperlink>
    </w:p>
    <w:p>
      <w:pPr>
        <w:spacing w:after="60"/>
        <w:ind w:left="360"/>
      </w:pPr>
      <w:hyperlink w:history="1" w:anchor="section-8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9. Intercompany and Equity</w:t>
        </w:r>
      </w:hyperlink>
    </w:p>
    <w:p>
      <w:pPr>
        <w:spacing w:after="60"/>
        <w:ind w:left="360"/>
      </w:pPr>
      <w:hyperlink w:history="1" w:anchor="section-9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10. General Ledger and Journal Entries</w:t>
        </w:r>
      </w:hyperlink>
    </w:p>
    <w:p>
      <w:pPr>
        <w:spacing w:after="60"/>
        <w:ind w:left="360"/>
      </w:pPr>
      <w:hyperlink w:history="1" w:anchor="section-10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11. Reconciliations</w:t>
        </w:r>
      </w:hyperlink>
    </w:p>
    <w:p>
      <w:pPr>
        <w:spacing w:after="60"/>
        <w:ind w:left="360"/>
      </w:pPr>
      <w:hyperlink w:history="1" w:anchor="section-11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12. Review and Variance Analysis</w:t>
        </w:r>
      </w:hyperlink>
    </w:p>
    <w:p>
      <w:pPr>
        <w:spacing w:after="60"/>
        <w:ind w:left="360"/>
      </w:pPr>
      <w:hyperlink w:history="1" w:anchor="section-12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13. Financial Statements and Reporting</w:t>
        </w:r>
      </w:hyperlink>
    </w:p>
    <w:p>
      <w:pPr>
        <w:spacing w:after="60"/>
        <w:ind w:left="360"/>
      </w:pPr>
      <w:hyperlink w:history="1" w:anchor="section-13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14. Close Sign-Off and Lock</w:t>
        </w:r>
      </w:hyperlink>
    </w:p>
    <w:p>
      <w:pPr>
        <w:pStyle w:val="Heading2"/>
        <w:spacing w:after="120" w:before="240"/>
      </w:pPr>
      <w:bookmarkStart w:name="section-0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1. Pre-Close Preparation</w:t>
      </w:r>
      <w:bookmarkEnd w:id="1"/>
    </w:p>
    <w:p>
      <w:pPr>
        <w:spacing w:after="12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Set the close timeline and confirm cutoffs before day 1 of close.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  <w:trHeight w:val="480" w:hRule="atLeast"/>
        </w:trPr>
        <w:tc>
          <w:tcPr>
            <w:tcW w:type="dxa" w:w="300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Task</w:t>
            </w:r>
          </w:p>
        </w:tc>
        <w:tc>
          <w:tcPr>
            <w:tcW w:type="dxa" w:w="300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Owner</w:t>
            </w:r>
          </w:p>
        </w:tc>
        <w:tc>
          <w:tcPr>
            <w:tcW w:type="dxa" w:w="300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Done</w:t>
            </w:r>
          </w:p>
        </w:tc>
      </w:tr>
      <w:tr>
        <w:trPr>
          <w:trHeight w:val="720" w:hRule="atLeast"/>
        </w:trPr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Publish the close calendar and assign task owners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]</w:t>
            </w:r>
          </w:p>
        </w:tc>
      </w:tr>
      <w:tr>
        <w:trPr>
          <w:trHeight w:val="720" w:hRule="atLeast"/>
        </w:trPr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Communicate transaction cutoff dates to all departments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]</w:t>
            </w:r>
          </w:p>
        </w:tc>
      </w:tr>
      <w:tr>
        <w:trPr>
          <w:trHeight w:val="720" w:hRule="atLeast"/>
        </w:trPr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Confirm all subledgers are posted through period end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]</w:t>
            </w:r>
          </w:p>
        </w:tc>
      </w:tr>
      <w:tr>
        <w:trPr>
          <w:trHeight w:val="720" w:hRule="atLeast"/>
        </w:trPr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Collect outstanding receipts, invoices, and expense reports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]</w:t>
            </w:r>
          </w:p>
        </w:tc>
      </w:tr>
      <w:tr>
        <w:trPr>
          <w:trHeight w:val="720" w:hRule="atLeast"/>
        </w:trPr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Verify prior month is locked and roll forward balances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]</w:t>
            </w:r>
          </w:p>
        </w:tc>
      </w:tr>
    </w:tbl>
    <w:p>
      <w:pPr>
        <w:pStyle w:val="Heading2"/>
        <w:spacing w:after="120" w:before="240"/>
      </w:pPr>
      <w:bookmarkStart w:name="section-1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2. Cash and Bank</w:t>
      </w:r>
      <w:bookmarkEnd w:id="1"/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  <w:trHeight w:val="480" w:hRule="atLeast"/>
        </w:trPr>
        <w:tc>
          <w:tcPr>
            <w:tcW w:type="dxa" w:w="300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Task</w:t>
            </w:r>
          </w:p>
        </w:tc>
        <w:tc>
          <w:tcPr>
            <w:tcW w:type="dxa" w:w="300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Owner</w:t>
            </w:r>
          </w:p>
        </w:tc>
        <w:tc>
          <w:tcPr>
            <w:tcW w:type="dxa" w:w="300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Done</w:t>
            </w:r>
          </w:p>
        </w:tc>
      </w:tr>
      <w:tr>
        <w:trPr>
          <w:trHeight w:val="720" w:hRule="atLeast"/>
        </w:trPr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Reconcile every bank account to the statement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]</w:t>
            </w:r>
          </w:p>
        </w:tc>
      </w:tr>
      <w:tr>
        <w:trPr>
          <w:trHeight w:val="720" w:hRule="atLeast"/>
        </w:trPr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Clear or investigate stale outstanding checks and deposits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]</w:t>
            </w:r>
          </w:p>
        </w:tc>
      </w:tr>
      <w:tr>
        <w:trPr>
          <w:trHeight w:val="720" w:hRule="atLeast"/>
        </w:trPr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Record bank fees, interest, and unrecorded transactions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]</w:t>
            </w:r>
          </w:p>
        </w:tc>
      </w:tr>
      <w:tr>
        <w:trPr>
          <w:trHeight w:val="720" w:hRule="atLeast"/>
        </w:trPr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Reconcile credit card and merchant processor accounts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]</w:t>
            </w:r>
          </w:p>
        </w:tc>
      </w:tr>
      <w:tr>
        <w:trPr>
          <w:trHeight w:val="720" w:hRule="atLeast"/>
        </w:trPr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Confirm petty cash and cash-on-hand counts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]</w:t>
            </w:r>
          </w:p>
        </w:tc>
      </w:tr>
    </w:tbl>
    <w:p>
      <w:pPr>
        <w:pStyle w:val="Heading2"/>
        <w:spacing w:after="120" w:before="240"/>
      </w:pPr>
      <w:bookmarkStart w:name="section-2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3. Accounts Payable</w:t>
      </w:r>
      <w:bookmarkEnd w:id="1"/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  <w:trHeight w:val="480" w:hRule="atLeast"/>
        </w:trPr>
        <w:tc>
          <w:tcPr>
            <w:tcW w:type="dxa" w:w="300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Task</w:t>
            </w:r>
          </w:p>
        </w:tc>
        <w:tc>
          <w:tcPr>
            <w:tcW w:type="dxa" w:w="300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Owner</w:t>
            </w:r>
          </w:p>
        </w:tc>
        <w:tc>
          <w:tcPr>
            <w:tcW w:type="dxa" w:w="300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Done</w:t>
            </w:r>
          </w:p>
        </w:tc>
      </w:tr>
      <w:tr>
        <w:trPr>
          <w:trHeight w:val="720" w:hRule="atLeast"/>
        </w:trPr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Confirm all vendor invoices for the period are entered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]</w:t>
            </w:r>
          </w:p>
        </w:tc>
      </w:tr>
      <w:tr>
        <w:trPr>
          <w:trHeight w:val="720" w:hRule="atLeast"/>
        </w:trPr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Complete three-way matching on open POs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]</w:t>
            </w:r>
          </w:p>
        </w:tc>
      </w:tr>
      <w:tr>
        <w:trPr>
          <w:trHeight w:val="720" w:hRule="atLeast"/>
        </w:trPr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Accrue for goods or services received but not yet invoiced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]</w:t>
            </w:r>
          </w:p>
        </w:tc>
      </w:tr>
      <w:tr>
        <w:trPr>
          <w:trHeight w:val="720" w:hRule="atLeast"/>
        </w:trPr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Reconcile the AP subledger to the GL control account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]</w:t>
            </w:r>
          </w:p>
        </w:tc>
      </w:tr>
      <w:tr>
        <w:trPr>
          <w:trHeight w:val="720" w:hRule="atLeast"/>
        </w:trPr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Review the aged payables report for errors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]</w:t>
            </w:r>
          </w:p>
        </w:tc>
      </w:tr>
    </w:tbl>
    <w:p>
      <w:pPr>
        <w:pStyle w:val="Heading2"/>
        <w:spacing w:after="120" w:before="240"/>
      </w:pPr>
      <w:bookmarkStart w:name="section-3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4. Accounts Receivable</w:t>
      </w:r>
      <w:bookmarkEnd w:id="1"/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  <w:trHeight w:val="480" w:hRule="atLeast"/>
        </w:trPr>
        <w:tc>
          <w:tcPr>
            <w:tcW w:type="dxa" w:w="300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Task</w:t>
            </w:r>
          </w:p>
        </w:tc>
        <w:tc>
          <w:tcPr>
            <w:tcW w:type="dxa" w:w="300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Owner</w:t>
            </w:r>
          </w:p>
        </w:tc>
        <w:tc>
          <w:tcPr>
            <w:tcW w:type="dxa" w:w="300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Done</w:t>
            </w:r>
          </w:p>
        </w:tc>
      </w:tr>
      <w:tr>
        <w:trPr>
          <w:trHeight w:val="720" w:hRule="atLeast"/>
        </w:trPr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Confirm all customer invoices for the period are issued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]</w:t>
            </w:r>
          </w:p>
        </w:tc>
      </w:tr>
      <w:tr>
        <w:trPr>
          <w:trHeight w:val="720" w:hRule="atLeast"/>
        </w:trPr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Apply cash receipts and clear unapplied payments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]</w:t>
            </w:r>
          </w:p>
        </w:tc>
      </w:tr>
      <w:tr>
        <w:trPr>
          <w:trHeight w:val="720" w:hRule="atLeast"/>
        </w:trPr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Review the aged receivables report and bad debt reserve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]</w:t>
            </w:r>
          </w:p>
        </w:tc>
      </w:tr>
      <w:tr>
        <w:trPr>
          <w:trHeight w:val="720" w:hRule="atLeast"/>
        </w:trPr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Record deferred or unearned revenue adjustments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]</w:t>
            </w:r>
          </w:p>
        </w:tc>
      </w:tr>
      <w:tr>
        <w:trPr>
          <w:trHeight w:val="720" w:hRule="atLeast"/>
        </w:trPr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Reconcile the AR subledger to the GL control account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]</w:t>
            </w:r>
          </w:p>
        </w:tc>
      </w:tr>
    </w:tbl>
    <w:p>
      <w:pPr>
        <w:pStyle w:val="Heading2"/>
        <w:spacing w:after="120" w:before="240"/>
      </w:pPr>
      <w:bookmarkStart w:name="section-4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5. Payroll and Compensation</w:t>
      </w:r>
      <w:bookmarkEnd w:id="1"/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  <w:trHeight w:val="480" w:hRule="atLeast"/>
        </w:trPr>
        <w:tc>
          <w:tcPr>
            <w:tcW w:type="dxa" w:w="300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Task</w:t>
            </w:r>
          </w:p>
        </w:tc>
        <w:tc>
          <w:tcPr>
            <w:tcW w:type="dxa" w:w="300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Owner</w:t>
            </w:r>
          </w:p>
        </w:tc>
        <w:tc>
          <w:tcPr>
            <w:tcW w:type="dxa" w:w="300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Done</w:t>
            </w:r>
          </w:p>
        </w:tc>
      </w:tr>
      <w:tr>
        <w:trPr>
          <w:trHeight w:val="720" w:hRule="atLeast"/>
        </w:trPr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Record all payroll runs and employer tax expense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]</w:t>
            </w:r>
          </w:p>
        </w:tc>
      </w:tr>
      <w:tr>
        <w:trPr>
          <w:trHeight w:val="720" w:hRule="atLeast"/>
        </w:trPr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Accrue unpaid wages, PTO, bonuses, and commissions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]</w:t>
            </w:r>
          </w:p>
        </w:tc>
      </w:tr>
      <w:tr>
        <w:trPr>
          <w:trHeight w:val="720" w:hRule="atLeast"/>
        </w:trPr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Reconcile payroll liabilities and benefit accounts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]</w:t>
            </w:r>
          </w:p>
        </w:tc>
      </w:tr>
      <w:tr>
        <w:trPr>
          <w:trHeight w:val="720" w:hRule="atLeast"/>
        </w:trPr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Confirm 401(k) and benefits remittances are recorded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]</w:t>
            </w:r>
          </w:p>
        </w:tc>
      </w:tr>
    </w:tbl>
    <w:p>
      <w:pPr>
        <w:pStyle w:val="Heading2"/>
        <w:spacing w:after="120" w:before="240"/>
      </w:pPr>
      <w:bookmarkStart w:name="section-5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6. Prepaid Expenses and Accruals</w:t>
      </w:r>
      <w:bookmarkEnd w:id="1"/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  <w:trHeight w:val="480" w:hRule="atLeast"/>
        </w:trPr>
        <w:tc>
          <w:tcPr>
            <w:tcW w:type="dxa" w:w="300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Task</w:t>
            </w:r>
          </w:p>
        </w:tc>
        <w:tc>
          <w:tcPr>
            <w:tcW w:type="dxa" w:w="300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Owner</w:t>
            </w:r>
          </w:p>
        </w:tc>
        <w:tc>
          <w:tcPr>
            <w:tcW w:type="dxa" w:w="300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Done</w:t>
            </w:r>
          </w:p>
        </w:tc>
      </w:tr>
      <w:tr>
        <w:trPr>
          <w:trHeight w:val="720" w:hRule="atLeast"/>
        </w:trPr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Amortize prepaid expenses (insurance, software, rent)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]</w:t>
            </w:r>
          </w:p>
        </w:tc>
      </w:tr>
      <w:tr>
        <w:trPr>
          <w:trHeight w:val="720" w:hRule="atLeast"/>
        </w:trPr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Book recurring accruals (utilities, professional fees)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]</w:t>
            </w:r>
          </w:p>
        </w:tc>
      </w:tr>
      <w:tr>
        <w:trPr>
          <w:trHeight w:val="720" w:hRule="atLeast"/>
        </w:trPr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Reverse prior-period accruals where applicable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]</w:t>
            </w:r>
          </w:p>
        </w:tc>
      </w:tr>
      <w:tr>
        <w:trPr>
          <w:trHeight w:val="720" w:hRule="atLeast"/>
        </w:trPr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Review the accrual schedule for completeness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]</w:t>
            </w:r>
          </w:p>
        </w:tc>
      </w:tr>
    </w:tbl>
    <w:p>
      <w:pPr>
        <w:pStyle w:val="Heading2"/>
        <w:spacing w:after="120" w:before="240"/>
      </w:pPr>
      <w:bookmarkStart w:name="section-6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7. Fixed Assets and Depreciation</w:t>
      </w:r>
      <w:bookmarkEnd w:id="1"/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  <w:trHeight w:val="480" w:hRule="atLeast"/>
        </w:trPr>
        <w:tc>
          <w:tcPr>
            <w:tcW w:type="dxa" w:w="300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Task</w:t>
            </w:r>
          </w:p>
        </w:tc>
        <w:tc>
          <w:tcPr>
            <w:tcW w:type="dxa" w:w="300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Owner</w:t>
            </w:r>
          </w:p>
        </w:tc>
        <w:tc>
          <w:tcPr>
            <w:tcW w:type="dxa" w:w="300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Done</w:t>
            </w:r>
          </w:p>
        </w:tc>
      </w:tr>
      <w:tr>
        <w:trPr>
          <w:trHeight w:val="720" w:hRule="atLeast"/>
        </w:trPr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Capitalize new asset additions from the period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]</w:t>
            </w:r>
          </w:p>
        </w:tc>
      </w:tr>
      <w:tr>
        <w:trPr>
          <w:trHeight w:val="720" w:hRule="atLeast"/>
        </w:trPr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Record monthly depreciation and amortization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]</w:t>
            </w:r>
          </w:p>
        </w:tc>
      </w:tr>
      <w:tr>
        <w:trPr>
          <w:trHeight w:val="720" w:hRule="atLeast"/>
        </w:trPr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Process disposals, retirements, and gain/loss entries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]</w:t>
            </w:r>
          </w:p>
        </w:tc>
      </w:tr>
      <w:tr>
        <w:trPr>
          <w:trHeight w:val="720" w:hRule="atLeast"/>
        </w:trPr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Reconcile the fixed asset register to the GL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]</w:t>
            </w:r>
          </w:p>
        </w:tc>
      </w:tr>
    </w:tbl>
    <w:p>
      <w:pPr>
        <w:pStyle w:val="Heading2"/>
        <w:spacing w:after="120" w:before="240"/>
      </w:pPr>
      <w:bookmarkStart w:name="section-7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8. Inventory (if applicable)</w:t>
      </w:r>
      <w:bookmarkEnd w:id="1"/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  <w:trHeight w:val="480" w:hRule="atLeast"/>
        </w:trPr>
        <w:tc>
          <w:tcPr>
            <w:tcW w:type="dxa" w:w="300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Task</w:t>
            </w:r>
          </w:p>
        </w:tc>
        <w:tc>
          <w:tcPr>
            <w:tcW w:type="dxa" w:w="300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Owner</w:t>
            </w:r>
          </w:p>
        </w:tc>
        <w:tc>
          <w:tcPr>
            <w:tcW w:type="dxa" w:w="300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Done</w:t>
            </w:r>
          </w:p>
        </w:tc>
      </w:tr>
      <w:tr>
        <w:trPr>
          <w:trHeight w:val="720" w:hRule="atLeast"/>
        </w:trPr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Reconcile inventory subledger to the GL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]</w:t>
            </w:r>
          </w:p>
        </w:tc>
      </w:tr>
      <w:tr>
        <w:trPr>
          <w:trHeight w:val="720" w:hRule="atLeast"/>
        </w:trPr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Record cost of goods sold for the period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]</w:t>
            </w:r>
          </w:p>
        </w:tc>
      </w:tr>
      <w:tr>
        <w:trPr>
          <w:trHeight w:val="720" w:hRule="atLeast"/>
        </w:trPr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Adjust for shrinkage, obsolescence, or count variances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]</w:t>
            </w:r>
          </w:p>
        </w:tc>
      </w:tr>
    </w:tbl>
    <w:p>
      <w:pPr>
        <w:pStyle w:val="Heading2"/>
        <w:spacing w:after="120" w:before="240"/>
      </w:pPr>
      <w:bookmarkStart w:name="section-8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9. Intercompany and Equity</w:t>
      </w:r>
      <w:bookmarkEnd w:id="1"/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  <w:trHeight w:val="480" w:hRule="atLeast"/>
        </w:trPr>
        <w:tc>
          <w:tcPr>
            <w:tcW w:type="dxa" w:w="300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Task</w:t>
            </w:r>
          </w:p>
        </w:tc>
        <w:tc>
          <w:tcPr>
            <w:tcW w:type="dxa" w:w="300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Owner</w:t>
            </w:r>
          </w:p>
        </w:tc>
        <w:tc>
          <w:tcPr>
            <w:tcW w:type="dxa" w:w="300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Done</w:t>
            </w:r>
          </w:p>
        </w:tc>
      </w:tr>
      <w:tr>
        <w:trPr>
          <w:trHeight w:val="720" w:hRule="atLeast"/>
        </w:trPr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Reconcile and eliminate intercompany balances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]</w:t>
            </w:r>
          </w:p>
        </w:tc>
      </w:tr>
      <w:tr>
        <w:trPr>
          <w:trHeight w:val="720" w:hRule="atLeast"/>
        </w:trPr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Confirm intercompany transactions agree on both sides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]</w:t>
            </w:r>
          </w:p>
        </w:tc>
      </w:tr>
      <w:tr>
        <w:trPr>
          <w:trHeight w:val="720" w:hRule="atLeast"/>
        </w:trPr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Record equity, contributions, and distribution entries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]</w:t>
            </w:r>
          </w:p>
        </w:tc>
      </w:tr>
    </w:tbl>
    <w:p>
      <w:pPr>
        <w:pStyle w:val="Heading2"/>
        <w:spacing w:after="120" w:before="240"/>
      </w:pPr>
      <w:bookmarkStart w:name="section-9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10. General Ledger and Journal Entries</w:t>
      </w:r>
      <w:bookmarkEnd w:id="1"/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  <w:trHeight w:val="480" w:hRule="atLeast"/>
        </w:trPr>
        <w:tc>
          <w:tcPr>
            <w:tcW w:type="dxa" w:w="300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Task</w:t>
            </w:r>
          </w:p>
        </w:tc>
        <w:tc>
          <w:tcPr>
            <w:tcW w:type="dxa" w:w="300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Owner</w:t>
            </w:r>
          </w:p>
        </w:tc>
        <w:tc>
          <w:tcPr>
            <w:tcW w:type="dxa" w:w="300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Done</w:t>
            </w:r>
          </w:p>
        </w:tc>
      </w:tr>
      <w:tr>
        <w:trPr>
          <w:trHeight w:val="720" w:hRule="atLeast"/>
        </w:trPr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Post all standard and adjusting journal entries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]</w:t>
            </w:r>
          </w:p>
        </w:tc>
      </w:tr>
      <w:tr>
        <w:trPr>
          <w:trHeight w:val="720" w:hRule="atLeast"/>
        </w:trPr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Confirm each manual entry has support and approval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]</w:t>
            </w:r>
          </w:p>
        </w:tc>
      </w:tr>
      <w:tr>
        <w:trPr>
          <w:trHeight w:val="720" w:hRule="atLeast"/>
        </w:trPr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Review the GL for unusual or suspense account activity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]</w:t>
            </w:r>
          </w:p>
        </w:tc>
      </w:tr>
      <w:tr>
        <w:trPr>
          <w:trHeight w:val="720" w:hRule="atLeast"/>
        </w:trPr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Confirm intercompany and eliminations are balanced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]</w:t>
            </w:r>
          </w:p>
        </w:tc>
      </w:tr>
    </w:tbl>
    <w:p>
      <w:pPr>
        <w:pStyle w:val="Heading2"/>
        <w:spacing w:after="120" w:before="240"/>
      </w:pPr>
      <w:bookmarkStart w:name="section-10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11. Reconciliations</w:t>
      </w:r>
      <w:bookmarkEnd w:id="1"/>
    </w:p>
    <w:p>
      <w:pPr>
        <w:shd w:fill="FFF6E5" w:color="auto" w:val="clear"/>
        <w:spacing w:after="120" w:before="120"/>
      </w:pPr>
      <w:r>
        <w:rPr>
          <w:rFonts w:ascii="Calibri" w:cs="Calibri" w:eastAsia="Calibri" w:hAnsi="Calibri"/>
          <w:b/>
          <w:bCs/>
          <w:color w:val="262626"/>
          <w:sz w:val="22"/>
          <w:szCs w:val="22"/>
        </w:rPr>
        <w:t xml:space="preserve">Tip: </w:t>
      </w:r>
      <w:r>
        <w:rPr>
          <w:rFonts w:ascii="Calibri" w:cs="Calibri" w:eastAsia="Calibri" w:hAnsi="Calibri"/>
          <w:color w:val="262626"/>
          <w:sz w:val="22"/>
          <w:szCs w:val="22"/>
        </w:rPr>
        <w:t xml:space="preserve">Every balance sheet account should have an owner and a reconciliation, even if the activity is zero.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  <w:trHeight w:val="480" w:hRule="atLeast"/>
        </w:trPr>
        <w:tc>
          <w:tcPr>
            <w:tcW w:type="dxa" w:w="300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Task</w:t>
            </w:r>
          </w:p>
        </w:tc>
        <w:tc>
          <w:tcPr>
            <w:tcW w:type="dxa" w:w="300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Owner</w:t>
            </w:r>
          </w:p>
        </w:tc>
        <w:tc>
          <w:tcPr>
            <w:tcW w:type="dxa" w:w="300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Done</w:t>
            </w:r>
          </w:p>
        </w:tc>
      </w:tr>
      <w:tr>
        <w:trPr>
          <w:trHeight w:val="720" w:hRule="atLeast"/>
        </w:trPr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Complete and review all balance sheet reconciliations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]</w:t>
            </w:r>
          </w:p>
        </w:tc>
      </w:tr>
      <w:tr>
        <w:trPr>
          <w:trHeight w:val="720" w:hRule="atLeast"/>
        </w:trPr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Document and assign owners for reconciling items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]</w:t>
            </w:r>
          </w:p>
        </w:tc>
      </w:tr>
      <w:tr>
        <w:trPr>
          <w:trHeight w:val="720" w:hRule="atLeast"/>
        </w:trPr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Obtain reviewer sign-off on each reconciliation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]</w:t>
            </w:r>
          </w:p>
        </w:tc>
      </w:tr>
    </w:tbl>
    <w:p>
      <w:pPr>
        <w:pStyle w:val="Heading2"/>
        <w:spacing w:after="120" w:before="240"/>
      </w:pPr>
      <w:bookmarkStart w:name="section-11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12. Review and Variance Analysis</w:t>
      </w:r>
      <w:bookmarkEnd w:id="1"/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  <w:trHeight w:val="480" w:hRule="atLeast"/>
        </w:trPr>
        <w:tc>
          <w:tcPr>
            <w:tcW w:type="dxa" w:w="300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Task</w:t>
            </w:r>
          </w:p>
        </w:tc>
        <w:tc>
          <w:tcPr>
            <w:tcW w:type="dxa" w:w="300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Owner</w:t>
            </w:r>
          </w:p>
        </w:tc>
        <w:tc>
          <w:tcPr>
            <w:tcW w:type="dxa" w:w="300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Done</w:t>
            </w:r>
          </w:p>
        </w:tc>
      </w:tr>
      <w:tr>
        <w:trPr>
          <w:trHeight w:val="720" w:hRule="atLeast"/>
        </w:trPr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Run a preliminary trial balance and scan for anomalies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]</w:t>
            </w:r>
          </w:p>
        </w:tc>
      </w:tr>
      <w:tr>
        <w:trPr>
          <w:trHeight w:val="720" w:hRule="atLeast"/>
        </w:trPr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Perform month-over-month and budget variance analysis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]</w:t>
            </w:r>
          </w:p>
        </w:tc>
      </w:tr>
      <w:tr>
        <w:trPr>
          <w:trHeight w:val="720" w:hRule="atLeast"/>
        </w:trPr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Investigate and explain material variances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]</w:t>
            </w:r>
          </w:p>
        </w:tc>
      </w:tr>
      <w:tr>
        <w:trPr>
          <w:trHeight w:val="720" w:hRule="atLeast"/>
        </w:trPr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Document review notes and follow-up items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]</w:t>
            </w:r>
          </w:p>
        </w:tc>
      </w:tr>
    </w:tbl>
    <w:p>
      <w:pPr>
        <w:pStyle w:val="Heading2"/>
        <w:spacing w:after="120" w:before="240"/>
      </w:pPr>
      <w:bookmarkStart w:name="section-12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13. Financial Statements and Reporting</w:t>
      </w:r>
      <w:bookmarkEnd w:id="1"/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  <w:trHeight w:val="480" w:hRule="atLeast"/>
        </w:trPr>
        <w:tc>
          <w:tcPr>
            <w:tcW w:type="dxa" w:w="300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Task</w:t>
            </w:r>
          </w:p>
        </w:tc>
        <w:tc>
          <w:tcPr>
            <w:tcW w:type="dxa" w:w="300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Owner</w:t>
            </w:r>
          </w:p>
        </w:tc>
        <w:tc>
          <w:tcPr>
            <w:tcW w:type="dxa" w:w="300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Done</w:t>
            </w:r>
          </w:p>
        </w:tc>
      </w:tr>
      <w:tr>
        <w:trPr>
          <w:trHeight w:val="720" w:hRule="atLeast"/>
        </w:trPr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Generate the income statement, balance sheet, and cash flow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]</w:t>
            </w:r>
          </w:p>
        </w:tc>
      </w:tr>
      <w:tr>
        <w:trPr>
          <w:trHeight w:val="720" w:hRule="atLeast"/>
        </w:trPr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Tie financial statements to the trial balance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]</w:t>
            </w:r>
          </w:p>
        </w:tc>
      </w:tr>
      <w:tr>
        <w:trPr>
          <w:trHeight w:val="720" w:hRule="atLeast"/>
        </w:trPr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Prepare the close package and management commentary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]</w:t>
            </w:r>
          </w:p>
        </w:tc>
      </w:tr>
      <w:tr>
        <w:trPr>
          <w:trHeight w:val="720" w:hRule="atLeast"/>
        </w:trPr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Distribute reporting to stakeholders by the due date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]</w:t>
            </w:r>
          </w:p>
        </w:tc>
      </w:tr>
    </w:tbl>
    <w:p>
      <w:pPr>
        <w:pStyle w:val="Heading2"/>
        <w:spacing w:after="120" w:before="240"/>
      </w:pPr>
      <w:bookmarkStart w:name="section-13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14. Close Sign-Off and Lock</w:t>
      </w:r>
      <w:bookmarkEnd w:id="1"/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  <w:trHeight w:val="480" w:hRule="atLeast"/>
        </w:trPr>
        <w:tc>
          <w:tcPr>
            <w:tcW w:type="dxa" w:w="300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Task</w:t>
            </w:r>
          </w:p>
        </w:tc>
        <w:tc>
          <w:tcPr>
            <w:tcW w:type="dxa" w:w="300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Owner</w:t>
            </w:r>
          </w:p>
        </w:tc>
        <w:tc>
          <w:tcPr>
            <w:tcW w:type="dxa" w:w="300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Done</w:t>
            </w:r>
          </w:p>
        </w:tc>
      </w:tr>
      <w:tr>
        <w:trPr>
          <w:trHeight w:val="720" w:hRule="atLeast"/>
        </w:trPr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Obtain controller / CFO review and approval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]</w:t>
            </w:r>
          </w:p>
        </w:tc>
      </w:tr>
      <w:tr>
        <w:trPr>
          <w:trHeight w:val="720" w:hRule="atLeast"/>
        </w:trPr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Lock the accounting period to prevent back-posting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]</w:t>
            </w:r>
          </w:p>
        </w:tc>
      </w:tr>
      <w:tr>
        <w:trPr>
          <w:trHeight w:val="720" w:hRule="atLeast"/>
        </w:trPr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Archive support, reconciliations, and the audit trail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]</w:t>
            </w:r>
          </w:p>
        </w:tc>
      </w:tr>
      <w:tr>
        <w:trPr>
          <w:trHeight w:val="720" w:hRule="atLeast"/>
        </w:trPr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Hold a close retrospective and log process improvements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]</w:t>
            </w:r>
          </w:p>
        </w:tc>
      </w:tr>
    </w:tbl>
    <w:p>
      <w:pPr>
        <w:spacing w:after="60"/>
      </w:pPr>
      <w:r>
        <w:rPr>
          <w:rFonts w:ascii="Calibri" w:cs="Calibri" w:eastAsia="Calibri" w:hAnsi="Calibri"/>
          <w:b/>
          <w:bCs/>
          <w:color w:val="262626"/>
          <w:sz w:val="20"/>
          <w:szCs w:val="20"/>
        </w:rPr>
        <w:t xml:space="preserve">Company: </w:t>
      </w:r>
      <w:r>
        <w:rPr>
          <w:rFonts w:ascii="Calibri" w:cs="Calibri" w:eastAsia="Calibri" w:hAnsi="Calibri"/>
          <w:color w:val="262626"/>
          <w:sz w:val="20"/>
          <w:szCs w:val="20"/>
        </w:rPr>
        <w:t xml:space="preserve">[Company Name]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262626"/>
          <w:sz w:val="20"/>
          <w:szCs w:val="20"/>
        </w:rPr>
        <w:t xml:space="preserve">Period Ending: </w:t>
      </w:r>
      <w:r>
        <w:rPr>
          <w:rFonts w:ascii="Calibri" w:cs="Calibri" w:eastAsia="Calibri" w:hAnsi="Calibri"/>
          <w:color w:val="262626"/>
          <w:sz w:val="20"/>
          <w:szCs w:val="20"/>
        </w:rPr>
        <w:t xml:space="preserve">[MM/DD/YYYY]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262626"/>
          <w:sz w:val="20"/>
          <w:szCs w:val="20"/>
        </w:rPr>
        <w:t xml:space="preserve">Target Close Date: </w:t>
      </w:r>
      <w:r>
        <w:rPr>
          <w:rFonts w:ascii="Calibri" w:cs="Calibri" w:eastAsia="Calibri" w:hAnsi="Calibri"/>
          <w:color w:val="262626"/>
          <w:sz w:val="20"/>
          <w:szCs w:val="20"/>
        </w:rPr>
        <w:t xml:space="preserve">[MM/DD/YYYY]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262626"/>
          <w:sz w:val="20"/>
          <w:szCs w:val="20"/>
        </w:rPr>
        <w:t xml:space="preserve">Prepared by: </w:t>
      </w:r>
      <w:r>
        <w:rPr>
          <w:rFonts w:ascii="Calibri" w:cs="Calibri" w:eastAsia="Calibri" w:hAnsi="Calibri"/>
          <w:color w:val="262626"/>
          <w:sz w:val="20"/>
          <w:szCs w:val="20"/>
        </w:rPr>
        <w:t xml:space="preserve">[Name and Title]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262626"/>
          <w:sz w:val="20"/>
          <w:szCs w:val="20"/>
        </w:rPr>
        <w:t xml:space="preserve">Reviewed by: </w:t>
      </w:r>
      <w:r>
        <w:rPr>
          <w:rFonts w:ascii="Calibri" w:cs="Calibri" w:eastAsia="Calibri" w:hAnsi="Calibri"/>
          <w:color w:val="262626"/>
          <w:sz w:val="20"/>
          <w:szCs w:val="20"/>
        </w:rPr>
        <w:t xml:space="preserve">[Name and Title]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262626"/>
          <w:sz w:val="20"/>
          <w:szCs w:val="20"/>
        </w:rPr>
        <w:t xml:space="preserve">Date Completed: </w:t>
      </w:r>
      <w:r>
        <w:rPr>
          <w:rFonts w:ascii="Calibri" w:cs="Calibri" w:eastAsia="Calibri" w:hAnsi="Calibri"/>
          <w:color w:val="262626"/>
          <w:sz w:val="20"/>
          <w:szCs w:val="20"/>
        </w:rPr>
        <w:t xml:space="preserve">[MM/DD/YYYY]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7635DC"/>
        <w:sz w:val="18"/>
        <w:szCs w:val="18"/>
      </w:rPr>
      <w:t xml:space="preserve">www.glitter.io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62626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dkx4fuswfrqenyerudnrw" Type="http://schemas.openxmlformats.org/officeDocument/2006/relationships/hyperlink" Target="https://www.glitter.io?utm_source=template&amp;utm_medium=docx&amp;utm_campaign=downloadable_asset" TargetMode="Externa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Month-End Close Checklist</dc:title>
  <dc:creator>Glitter AI</dc:creator>
  <cp:lastModifiedBy>Un-named</cp:lastModifiedBy>
  <cp:revision>1</cp:revision>
  <dcterms:created xsi:type="dcterms:W3CDTF">2026-05-17T00:26:03.657Z</dcterms:created>
  <dcterms:modified xsi:type="dcterms:W3CDTF">2026-05-17T00:26:03.657Z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